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533" w:rsidRDefault="00536533" w:rsidP="00244D4D">
      <w:pPr>
        <w:rPr>
          <w:sz w:val="24"/>
        </w:rPr>
      </w:pPr>
    </w:p>
    <w:p w:rsidR="00536533" w:rsidRDefault="00536533" w:rsidP="00244D4D">
      <w:pPr>
        <w:rPr>
          <w:sz w:val="24"/>
        </w:rPr>
      </w:pPr>
      <w:r w:rsidRPr="00536533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348615</wp:posOffset>
                </wp:positionH>
                <wp:positionV relativeFrom="paragraph">
                  <wp:posOffset>569595</wp:posOffset>
                </wp:positionV>
                <wp:extent cx="4676775" cy="1181100"/>
                <wp:effectExtent l="38100" t="38100" r="47625" b="3810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1181100"/>
                        </a:xfrm>
                        <a:prstGeom prst="rect">
                          <a:avLst/>
                        </a:prstGeom>
                        <a:solidFill>
                          <a:srgbClr val="FF8A3B"/>
                        </a:solidFill>
                        <a:ln w="76200"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6533" w:rsidRPr="00536533" w:rsidRDefault="00536533" w:rsidP="00536533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r w:rsidRPr="00536533">
                              <w:rPr>
                                <w:sz w:val="44"/>
                              </w:rPr>
                              <w:t>Ficha de leitura – Tecnologias da Comunicação Educacional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7.45pt;margin-top:44.85pt;width:368.25pt;height:9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" fillcolor="#ff8a3b" strokecolor="#ed7d31 [3205]" strokeweight="6pt">
                <v:textbox>
                  <w:txbxContent>
                    <w:p w:rsidR="00536533" w:rsidRPr="00536533" w:rsidRDefault="00536533" w:rsidP="00536533">
                      <w:pPr>
                        <w:jc w:val="center"/>
                        <w:rPr>
                          <w:sz w:val="44"/>
                        </w:rPr>
                      </w:pPr>
                      <w:r w:rsidRPr="00536533">
                        <w:rPr>
                          <w:sz w:val="44"/>
                        </w:rPr>
                        <w:t>Ficha de leitura – Tecnologias da Comunicação Educacional II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36533" w:rsidRDefault="00536533" w:rsidP="00244D4D">
      <w:pPr>
        <w:rPr>
          <w:sz w:val="24"/>
        </w:rPr>
      </w:pPr>
    </w:p>
    <w:p w:rsidR="00536533" w:rsidRDefault="00536533" w:rsidP="00244D4D">
      <w:pPr>
        <w:rPr>
          <w:sz w:val="24"/>
        </w:rPr>
      </w:pPr>
    </w:p>
    <w:p w:rsidR="00536533" w:rsidRDefault="00997FA3" w:rsidP="00244D4D">
      <w:pPr>
        <w:rPr>
          <w:sz w:val="24"/>
        </w:rPr>
      </w:pPr>
      <w:r>
        <w:rPr>
          <w:noProof/>
          <w:lang w:eastAsia="pt-PT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1358265</wp:posOffset>
            </wp:positionH>
            <wp:positionV relativeFrom="paragraph">
              <wp:posOffset>187960</wp:posOffset>
            </wp:positionV>
            <wp:extent cx="2602865" cy="2266950"/>
            <wp:effectExtent l="0" t="0" r="6985" b="0"/>
            <wp:wrapTight wrapText="bothSides">
              <wp:wrapPolygon edited="0">
                <wp:start x="0" y="0"/>
                <wp:lineTo x="0" y="21418"/>
                <wp:lineTo x="21500" y="21418"/>
                <wp:lineTo x="21500" y="0"/>
                <wp:lineTo x="0" y="0"/>
              </wp:wrapPolygon>
            </wp:wrapTight>
            <wp:docPr id="4" name="Imagem 4" descr="Imagem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m relacionad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86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6533" w:rsidRDefault="00536533" w:rsidP="00244D4D">
      <w:pPr>
        <w:rPr>
          <w:sz w:val="24"/>
        </w:rPr>
      </w:pPr>
    </w:p>
    <w:p w:rsidR="00536533" w:rsidRDefault="00536533" w:rsidP="00244D4D">
      <w:pPr>
        <w:rPr>
          <w:sz w:val="24"/>
        </w:rPr>
      </w:pPr>
    </w:p>
    <w:p w:rsidR="00536533" w:rsidRDefault="00536533" w:rsidP="00244D4D">
      <w:pPr>
        <w:rPr>
          <w:sz w:val="24"/>
        </w:rPr>
      </w:pPr>
    </w:p>
    <w:p w:rsidR="00536533" w:rsidRDefault="00536533" w:rsidP="00244D4D">
      <w:pPr>
        <w:rPr>
          <w:sz w:val="24"/>
        </w:rPr>
      </w:pPr>
    </w:p>
    <w:p w:rsidR="00536533" w:rsidRDefault="00536533" w:rsidP="00244D4D">
      <w:pPr>
        <w:rPr>
          <w:sz w:val="24"/>
        </w:rPr>
      </w:pPr>
    </w:p>
    <w:p w:rsidR="00536533" w:rsidRDefault="00536533" w:rsidP="00244D4D">
      <w:pPr>
        <w:rPr>
          <w:sz w:val="24"/>
        </w:rPr>
      </w:pPr>
      <w:bookmarkStart w:id="0" w:name="_GoBack"/>
      <w:bookmarkEnd w:id="0"/>
    </w:p>
    <w:p w:rsidR="00536533" w:rsidRDefault="00536533" w:rsidP="00244D4D">
      <w:pPr>
        <w:rPr>
          <w:sz w:val="24"/>
        </w:rPr>
      </w:pPr>
    </w:p>
    <w:p w:rsidR="00536533" w:rsidRDefault="00536533" w:rsidP="00244D4D">
      <w:pPr>
        <w:rPr>
          <w:sz w:val="24"/>
        </w:rPr>
      </w:pPr>
    </w:p>
    <w:p w:rsidR="00536533" w:rsidRDefault="00536533" w:rsidP="00244D4D">
      <w:pPr>
        <w:rPr>
          <w:sz w:val="24"/>
        </w:rPr>
      </w:pPr>
    </w:p>
    <w:p w:rsidR="00536533" w:rsidRDefault="0055214A" w:rsidP="00244D4D">
      <w:pPr>
        <w:rPr>
          <w:sz w:val="24"/>
        </w:rPr>
      </w:pPr>
      <w:r>
        <w:rPr>
          <w:noProof/>
          <w:sz w:val="24"/>
          <w:lang w:eastAsia="pt-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326390</wp:posOffset>
                </wp:positionV>
                <wp:extent cx="6248400" cy="1200150"/>
                <wp:effectExtent l="0" t="19050" r="19050" b="19050"/>
                <wp:wrapNone/>
                <wp:docPr id="3" name="Rolagem: Horizont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1200150"/>
                        </a:xfrm>
                        <a:prstGeom prst="horizontalScroll">
                          <a:avLst>
                            <a:gd name="adj" fmla="val 10057"/>
                          </a:avLst>
                        </a:prstGeom>
                        <a:solidFill>
                          <a:srgbClr val="FF8A3B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CAC903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Rolagem: Horizontal 3" o:spid="_x0000_s1026" type="#_x0000_t98" style="position:absolute;margin-left:0;margin-top:25.7pt;width:492pt;height:94.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" adj="2172" fillcolor="#ff8a3b" strokecolor="black [3213]" strokeweight="1pt">
                <v:stroke joinstyle="miter"/>
                <w10:wrap anchorx="margin"/>
              </v:shape>
            </w:pict>
          </mc:Fallback>
        </mc:AlternateContent>
      </w:r>
    </w:p>
    <w:p w:rsidR="00536533" w:rsidRDefault="0055214A" w:rsidP="00244D4D">
      <w:pPr>
        <w:rPr>
          <w:sz w:val="24"/>
        </w:rPr>
      </w:pPr>
      <w:r w:rsidRPr="00536533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-222885</wp:posOffset>
                </wp:positionH>
                <wp:positionV relativeFrom="paragraph">
                  <wp:posOffset>309880</wp:posOffset>
                </wp:positionV>
                <wp:extent cx="6534150" cy="1404620"/>
                <wp:effectExtent l="0" t="0" r="0" b="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214A" w:rsidRPr="00D707A7" w:rsidRDefault="0055214A" w:rsidP="0055214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55214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0"/>
                                <w:bdr w:val="none" w:sz="0" w:space="0" w:color="auto" w:frame="1"/>
                                <w:lang w:val="en-US"/>
                              </w:rPr>
                              <w:t>Talburt</w:t>
                            </w:r>
                            <w:proofErr w:type="spellEnd"/>
                            <w:r w:rsidRPr="0055214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0"/>
                                <w:bdr w:val="none" w:sz="0" w:space="0" w:color="auto" w:frame="1"/>
                                <w:lang w:val="en-US"/>
                              </w:rPr>
                              <w:t>, S. &amp; Steinberg, S. R. (org.)  </w:t>
                            </w:r>
                            <w:r w:rsidRPr="0055214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0"/>
                                <w:bdr w:val="none" w:sz="0" w:space="0" w:color="auto" w:frame="1"/>
                              </w:rPr>
                              <w:t>(2007). </w:t>
                            </w:r>
                            <w:r w:rsidRPr="0055214A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0"/>
                                <w:bdr w:val="none" w:sz="0" w:space="0" w:color="auto" w:frame="1"/>
                              </w:rPr>
                              <w:t>Pensar Queer: sexualidade, cultura e organização.</w:t>
                            </w:r>
                            <w:r w:rsidRPr="0055214A">
                              <w:rPr>
                                <w:rStyle w:val="apple-converted-space"/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8"/>
                                <w:szCs w:val="20"/>
                                <w:bdr w:val="none" w:sz="0" w:space="0" w:color="auto" w:frame="1"/>
                              </w:rPr>
                              <w:t> </w:t>
                            </w:r>
                            <w:r w:rsidRPr="0055214A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0"/>
                                <w:bdr w:val="none" w:sz="0" w:space="0" w:color="auto" w:frame="1"/>
                              </w:rPr>
                              <w:t>Mangualde: edições pedagogo</w:t>
                            </w:r>
                            <w:r w:rsidRPr="00D707A7">
                              <w:rPr>
                                <w:rFonts w:ascii="Times New Roman" w:hAnsi="Times New Roman" w:cs="Times New Roman"/>
                                <w:color w:val="000000"/>
                                <w:szCs w:val="20"/>
                                <w:bdr w:val="none" w:sz="0" w:space="0" w:color="auto" w:frame="1"/>
                              </w:rPr>
                              <w:t>.</w:t>
                            </w:r>
                          </w:p>
                          <w:p w:rsidR="00536533" w:rsidRPr="00997FA3" w:rsidRDefault="0053653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17.55pt;margin-top:24.4pt;width:514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" filled="f" stroked="f">
                <v:textbox style="mso-fit-shape-to-text:t">
                  <w:txbxContent>
                    <w:p w:rsidR="0055214A" w:rsidRPr="00D707A7" w:rsidRDefault="0055214A" w:rsidP="0055214A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55214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0"/>
                          <w:bdr w:val="none" w:sz="0" w:space="0" w:color="auto" w:frame="1"/>
                          <w:lang w:val="en-US"/>
                        </w:rPr>
                        <w:t>Talburt</w:t>
                      </w:r>
                      <w:proofErr w:type="spellEnd"/>
                      <w:r w:rsidRPr="0055214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0"/>
                          <w:bdr w:val="none" w:sz="0" w:space="0" w:color="auto" w:frame="1"/>
                          <w:lang w:val="en-US"/>
                        </w:rPr>
                        <w:t>, S. &amp; Steinberg, S. R. (org.)  </w:t>
                      </w:r>
                      <w:r w:rsidRPr="0055214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0"/>
                          <w:bdr w:val="none" w:sz="0" w:space="0" w:color="auto" w:frame="1"/>
                        </w:rPr>
                        <w:t>(2007). </w:t>
                      </w:r>
                      <w:r w:rsidRPr="0055214A"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8"/>
                          <w:szCs w:val="20"/>
                          <w:bdr w:val="none" w:sz="0" w:space="0" w:color="auto" w:frame="1"/>
                        </w:rPr>
                        <w:t>Pensar Queer: sexualidade, cultura e organização.</w:t>
                      </w:r>
                      <w:r w:rsidRPr="0055214A">
                        <w:rPr>
                          <w:rStyle w:val="apple-converted-space"/>
                          <w:rFonts w:ascii="Times New Roman" w:hAnsi="Times New Roman" w:cs="Times New Roman"/>
                          <w:i/>
                          <w:iCs/>
                          <w:color w:val="000000"/>
                          <w:sz w:val="28"/>
                          <w:szCs w:val="20"/>
                          <w:bdr w:val="none" w:sz="0" w:space="0" w:color="auto" w:frame="1"/>
                        </w:rPr>
                        <w:t> </w:t>
                      </w:r>
                      <w:r w:rsidRPr="0055214A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0"/>
                          <w:bdr w:val="none" w:sz="0" w:space="0" w:color="auto" w:frame="1"/>
                        </w:rPr>
                        <w:t>Mangualde: edições pedagogo</w:t>
                      </w:r>
                      <w:r w:rsidRPr="00D707A7">
                        <w:rPr>
                          <w:rFonts w:ascii="Times New Roman" w:hAnsi="Times New Roman" w:cs="Times New Roman"/>
                          <w:color w:val="000000"/>
                          <w:szCs w:val="20"/>
                          <w:bdr w:val="none" w:sz="0" w:space="0" w:color="auto" w:frame="1"/>
                        </w:rPr>
                        <w:t>.</w:t>
                      </w:r>
                    </w:p>
                    <w:p w:rsidR="00536533" w:rsidRPr="00997FA3" w:rsidRDefault="0053653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36533" w:rsidRDefault="00536533" w:rsidP="00244D4D">
      <w:pPr>
        <w:rPr>
          <w:sz w:val="24"/>
        </w:rPr>
      </w:pPr>
    </w:p>
    <w:p w:rsidR="00536533" w:rsidRDefault="00536533" w:rsidP="00244D4D">
      <w:pPr>
        <w:rPr>
          <w:sz w:val="24"/>
        </w:rPr>
      </w:pPr>
    </w:p>
    <w:p w:rsidR="00536533" w:rsidRPr="00997FA3" w:rsidRDefault="00997FA3" w:rsidP="00997FA3">
      <w:pPr>
        <w:tabs>
          <w:tab w:val="left" w:pos="5565"/>
        </w:tabs>
        <w:rPr>
          <w:sz w:val="28"/>
        </w:rPr>
      </w:pPr>
      <w:r w:rsidRPr="00997FA3">
        <w:rPr>
          <w:sz w:val="28"/>
        </w:rPr>
        <w:t xml:space="preserve">Discente: Ângela Marisa Peixoto Barbosa </w:t>
      </w:r>
      <w:r w:rsidR="0055214A">
        <w:rPr>
          <w:sz w:val="28"/>
        </w:rPr>
        <w:t>(A81493)</w:t>
      </w:r>
    </w:p>
    <w:p w:rsidR="00D707A7" w:rsidRPr="0055214A" w:rsidRDefault="00997FA3" w:rsidP="0055214A">
      <w:pPr>
        <w:tabs>
          <w:tab w:val="left" w:pos="5565"/>
        </w:tabs>
        <w:rPr>
          <w:sz w:val="28"/>
        </w:rPr>
      </w:pPr>
      <w:r w:rsidRPr="00997FA3">
        <w:rPr>
          <w:sz w:val="28"/>
        </w:rPr>
        <w:t xml:space="preserve">Docente: Lia Silva </w:t>
      </w:r>
    </w:p>
    <w:p w:rsidR="00536533" w:rsidRPr="00D707A7" w:rsidRDefault="00997FA3" w:rsidP="00244D4D">
      <w:pPr>
        <w:rPr>
          <w:b/>
          <w:color w:val="FF8A3B"/>
          <w:sz w:val="28"/>
        </w:rPr>
      </w:pPr>
      <w:r w:rsidRPr="00D707A7">
        <w:rPr>
          <w:b/>
          <w:color w:val="FF8A3B"/>
          <w:sz w:val="28"/>
        </w:rPr>
        <w:lastRenderedPageBreak/>
        <w:t>Indicações bibliográficas:</w:t>
      </w:r>
    </w:p>
    <w:p w:rsidR="00244D4D" w:rsidRDefault="00244D4D" w:rsidP="00244D4D">
      <w:pPr>
        <w:rPr>
          <w:sz w:val="24"/>
        </w:rPr>
      </w:pPr>
      <w:r w:rsidRPr="00244D4D">
        <w:rPr>
          <w:sz w:val="24"/>
        </w:rPr>
        <w:t>Livro organizado por duas autoras: Susan Talburt e Shirley R. Steinberg</w:t>
      </w:r>
      <w:r w:rsidR="00997FA3">
        <w:rPr>
          <w:sz w:val="24"/>
        </w:rPr>
        <w:t>,</w:t>
      </w:r>
      <w:r w:rsidR="00997FA3" w:rsidRPr="00997FA3">
        <w:rPr>
          <w:sz w:val="24"/>
        </w:rPr>
        <w:t xml:space="preserve"> encontra-se no na biblioteca geral da Universidade do Minho. Este livro tem apenas uma edição pertencente a Dezembro de 2007. O livro é constituído por um total de 174 páginas </w:t>
      </w:r>
      <w:r w:rsidRPr="00244D4D">
        <w:rPr>
          <w:sz w:val="24"/>
        </w:rPr>
        <w:t>subdividido em 7 capítulos, pode afirmar-se que, é um livro que aborda questões extremamente importantes, atuais e das quais, muitas vezes, tentamos e preferimos fugir.</w:t>
      </w:r>
      <w:r>
        <w:rPr>
          <w:sz w:val="24"/>
        </w:rPr>
        <w:t xml:space="preserve"> Eu escolhi o capítulo V que vai da página 135 à </w:t>
      </w:r>
      <w:r w:rsidRPr="00244D4D">
        <w:rPr>
          <w:sz w:val="24"/>
        </w:rPr>
        <w:t>144</w:t>
      </w:r>
      <w:r w:rsidR="00997FA3">
        <w:rPr>
          <w:sz w:val="24"/>
        </w:rPr>
        <w:t>, intitula-se “</w:t>
      </w:r>
      <w:r w:rsidR="00997FA3" w:rsidRPr="00997FA3">
        <w:rPr>
          <w:sz w:val="24"/>
        </w:rPr>
        <w:t>Do armário ao curral, neo-estereotipia em In &amp; Out</w:t>
      </w:r>
      <w:r w:rsidR="00997FA3">
        <w:rPr>
          <w:sz w:val="24"/>
        </w:rPr>
        <w:t>”.</w:t>
      </w:r>
    </w:p>
    <w:p w:rsidR="006B175F" w:rsidRDefault="006B175F" w:rsidP="00244D4D">
      <w:pPr>
        <w:rPr>
          <w:sz w:val="24"/>
        </w:rPr>
      </w:pPr>
    </w:p>
    <w:p w:rsidR="00D707A7" w:rsidRPr="00D707A7" w:rsidRDefault="00D707A7" w:rsidP="00244D4D">
      <w:pPr>
        <w:rPr>
          <w:b/>
          <w:color w:val="FF8A3B"/>
          <w:sz w:val="28"/>
        </w:rPr>
      </w:pPr>
      <w:r w:rsidRPr="00D707A7">
        <w:rPr>
          <w:b/>
          <w:color w:val="FF8A3B"/>
          <w:sz w:val="28"/>
        </w:rPr>
        <w:t>Informações sobre o autor/entidade/organização:</w:t>
      </w:r>
    </w:p>
    <w:p w:rsidR="006B175F" w:rsidRDefault="006B175F" w:rsidP="00D707A7">
      <w:pPr>
        <w:tabs>
          <w:tab w:val="left" w:pos="195"/>
        </w:tabs>
        <w:rPr>
          <w:sz w:val="24"/>
        </w:rPr>
      </w:pPr>
      <w:r w:rsidRPr="006B175F">
        <w:rPr>
          <w:b/>
          <w:sz w:val="24"/>
        </w:rPr>
        <w:t>Susan Talburt</w:t>
      </w:r>
      <w:r>
        <w:rPr>
          <w:sz w:val="24"/>
        </w:rPr>
        <w:t xml:space="preserve"> estudou</w:t>
      </w:r>
      <w:r w:rsidRPr="006B175F">
        <w:rPr>
          <w:sz w:val="24"/>
        </w:rPr>
        <w:t xml:space="preserve"> na Faculdade Central, no Instituto das Mulheres, em Género e Sexualidade</w:t>
      </w:r>
      <w:r>
        <w:rPr>
          <w:sz w:val="24"/>
        </w:rPr>
        <w:t>.</w:t>
      </w:r>
    </w:p>
    <w:p w:rsidR="006B175F" w:rsidRDefault="006B175F" w:rsidP="00D707A7">
      <w:pPr>
        <w:tabs>
          <w:tab w:val="left" w:pos="195"/>
        </w:tabs>
        <w:rPr>
          <w:sz w:val="24"/>
        </w:rPr>
      </w:pPr>
      <w:r w:rsidRPr="006B175F">
        <w:rPr>
          <w:sz w:val="24"/>
        </w:rPr>
        <w:t>A pesq</w:t>
      </w:r>
      <w:r>
        <w:rPr>
          <w:sz w:val="24"/>
        </w:rPr>
        <w:t>uisa de Susan Talburt envolve gé</w:t>
      </w:r>
      <w:r w:rsidRPr="006B175F">
        <w:rPr>
          <w:sz w:val="24"/>
        </w:rPr>
        <w:t xml:space="preserve">nero e sexualidade nos campos de estudos juvenis e estudos educacionais. </w:t>
      </w:r>
      <w:r>
        <w:rPr>
          <w:sz w:val="24"/>
        </w:rPr>
        <w:t>A autora</w:t>
      </w:r>
      <w:r w:rsidRPr="006B175F">
        <w:rPr>
          <w:sz w:val="24"/>
        </w:rPr>
        <w:t xml:space="preserve"> usa </w:t>
      </w:r>
      <w:r>
        <w:rPr>
          <w:sz w:val="24"/>
        </w:rPr>
        <w:t xml:space="preserve">a </w:t>
      </w:r>
      <w:r w:rsidRPr="006B175F">
        <w:rPr>
          <w:sz w:val="24"/>
        </w:rPr>
        <w:t>teoria queer para estudar as formas como a pesquisa científica social, as instituições e a cultura popular regulam a juventude LGBT, enquadrando-as como "em risco" e com necessidade de ajuda</w:t>
      </w:r>
      <w:r>
        <w:rPr>
          <w:sz w:val="24"/>
        </w:rPr>
        <w:t>.</w:t>
      </w:r>
    </w:p>
    <w:p w:rsidR="006B175F" w:rsidRDefault="006B175F" w:rsidP="00D707A7">
      <w:pPr>
        <w:tabs>
          <w:tab w:val="left" w:pos="195"/>
        </w:tabs>
        <w:rPr>
          <w:sz w:val="24"/>
        </w:rPr>
      </w:pPr>
      <w:r>
        <w:rPr>
          <w:sz w:val="24"/>
        </w:rPr>
        <w:t>Estudos importantes: j</w:t>
      </w:r>
      <w:r w:rsidRPr="006B175F">
        <w:rPr>
          <w:sz w:val="24"/>
        </w:rPr>
        <w:t>ovens e sexualidades; Teoria feminista e estranha; Metodologias</w:t>
      </w:r>
      <w:r>
        <w:rPr>
          <w:sz w:val="24"/>
        </w:rPr>
        <w:t xml:space="preserve"> etnográficas e qualitativas; Gé</w:t>
      </w:r>
      <w:r w:rsidRPr="006B175F">
        <w:rPr>
          <w:sz w:val="24"/>
        </w:rPr>
        <w:t>nero, sexualidade e criação de conhecimento no ensino superior; Política cultural neoliberal na academia.</w:t>
      </w:r>
    </w:p>
    <w:p w:rsidR="00244D4D" w:rsidRDefault="00D707A7" w:rsidP="00D707A7">
      <w:pPr>
        <w:tabs>
          <w:tab w:val="left" w:pos="195"/>
        </w:tabs>
        <w:rPr>
          <w:sz w:val="24"/>
        </w:rPr>
      </w:pPr>
      <w:r w:rsidRPr="006B175F">
        <w:rPr>
          <w:b/>
          <w:sz w:val="24"/>
        </w:rPr>
        <w:t>Shirley R. Steinberg</w:t>
      </w:r>
      <w:r w:rsidRPr="00D707A7">
        <w:rPr>
          <w:sz w:val="24"/>
        </w:rPr>
        <w:t xml:space="preserve"> é a Werklund Research Professor de CriticalYouth Estudos da Universidade de Calgary. É autora e editora de muitos livros sobre cultura urbana e juvenil, islamofobia, liderança juvenil, estudos culturais, pedagogia crítica, questões LGBTQ, educação anti-racista, alfabetização mediática e justiça social. </w:t>
      </w:r>
      <w:r>
        <w:rPr>
          <w:sz w:val="24"/>
        </w:rPr>
        <w:t>É</w:t>
      </w:r>
      <w:r w:rsidRPr="00D707A7">
        <w:rPr>
          <w:sz w:val="24"/>
        </w:rPr>
        <w:t xml:space="preserve"> palestrante internacional e colunista da TV e está envolvida no ativismo e capacitação da comunidade.</w:t>
      </w:r>
    </w:p>
    <w:p w:rsidR="00D707A7" w:rsidRDefault="00D707A7" w:rsidP="00D707A7">
      <w:pPr>
        <w:tabs>
          <w:tab w:val="left" w:pos="195"/>
        </w:tabs>
        <w:rPr>
          <w:sz w:val="24"/>
        </w:rPr>
      </w:pPr>
      <w:r w:rsidRPr="00D707A7">
        <w:rPr>
          <w:sz w:val="24"/>
        </w:rPr>
        <w:t>É consultor</w:t>
      </w:r>
      <w:r>
        <w:rPr>
          <w:sz w:val="24"/>
        </w:rPr>
        <w:t>a</w:t>
      </w:r>
      <w:r w:rsidRPr="00D707A7">
        <w:rPr>
          <w:sz w:val="24"/>
        </w:rPr>
        <w:t xml:space="preserve"> educacional e diretor</w:t>
      </w:r>
      <w:r>
        <w:rPr>
          <w:sz w:val="24"/>
        </w:rPr>
        <w:t>a</w:t>
      </w:r>
      <w:r w:rsidRPr="00D707A7">
        <w:rPr>
          <w:sz w:val="24"/>
        </w:rPr>
        <w:t xml:space="preserve"> de teatro. </w:t>
      </w:r>
      <w:r>
        <w:rPr>
          <w:sz w:val="24"/>
        </w:rPr>
        <w:t>O trabalho da</w:t>
      </w:r>
      <w:r w:rsidRPr="00D707A7">
        <w:rPr>
          <w:sz w:val="24"/>
        </w:rPr>
        <w:t xml:space="preserve"> Dr. Steinberg centra-se no desenvolvimento cultural / social / educacional da juventude e no envolvimento crítico da comunidade. Ela está preocupada com a forma como a sociedade vê os jovens, e </w:t>
      </w:r>
      <w:r>
        <w:rPr>
          <w:sz w:val="24"/>
        </w:rPr>
        <w:t xml:space="preserve">o </w:t>
      </w:r>
      <w:r w:rsidRPr="00D707A7">
        <w:rPr>
          <w:sz w:val="24"/>
        </w:rPr>
        <w:t>seu trabalho cria um ambiente em que os jovens são vistos como agentes democráticos positivos dentro da sociedade.</w:t>
      </w:r>
    </w:p>
    <w:p w:rsidR="00D707A7" w:rsidRPr="00D707A7" w:rsidRDefault="00D707A7" w:rsidP="00D707A7">
      <w:pPr>
        <w:tabs>
          <w:tab w:val="left" w:pos="195"/>
        </w:tabs>
        <w:rPr>
          <w:sz w:val="24"/>
        </w:rPr>
      </w:pPr>
    </w:p>
    <w:p w:rsidR="00244D4D" w:rsidRDefault="00244D4D" w:rsidP="00E75AB3">
      <w:pPr>
        <w:jc w:val="center"/>
        <w:rPr>
          <w:color w:val="FF0000"/>
          <w:sz w:val="28"/>
        </w:rPr>
      </w:pPr>
    </w:p>
    <w:p w:rsidR="006B175F" w:rsidRDefault="006B175F" w:rsidP="006B175F">
      <w:pPr>
        <w:rPr>
          <w:b/>
          <w:color w:val="FF8A3B"/>
          <w:sz w:val="28"/>
        </w:rPr>
      </w:pPr>
    </w:p>
    <w:p w:rsidR="006B175F" w:rsidRDefault="006B175F" w:rsidP="006B175F">
      <w:pPr>
        <w:rPr>
          <w:b/>
          <w:color w:val="FF8A3B"/>
          <w:sz w:val="28"/>
        </w:rPr>
      </w:pPr>
    </w:p>
    <w:p w:rsidR="00E75AB3" w:rsidRPr="006B175F" w:rsidRDefault="00E75AB3" w:rsidP="006B175F">
      <w:pPr>
        <w:rPr>
          <w:b/>
          <w:color w:val="FF8A3B"/>
          <w:sz w:val="28"/>
        </w:rPr>
      </w:pPr>
      <w:r w:rsidRPr="006B175F">
        <w:rPr>
          <w:b/>
          <w:color w:val="FF8A3B"/>
          <w:sz w:val="28"/>
        </w:rPr>
        <w:t>Resumo do capítulo 5 do livro Pensar Queer (Do armário ao curral, neo-estereotipia em In &amp; Out.)</w:t>
      </w:r>
    </w:p>
    <w:p w:rsidR="006B175F" w:rsidRDefault="00E75AB3" w:rsidP="00E75AB3">
      <w:pPr>
        <w:rPr>
          <w:sz w:val="24"/>
        </w:rPr>
      </w:pPr>
      <w:r w:rsidRPr="00E75AB3">
        <w:rPr>
          <w:sz w:val="24"/>
        </w:rPr>
        <w:lastRenderedPageBreak/>
        <w:t xml:space="preserve">Neste capítulo, Shirley R. Steinberg, diz-nos algumas das tendências que compõem o modelo queer. </w:t>
      </w:r>
    </w:p>
    <w:p w:rsidR="00142057" w:rsidRDefault="00E75AB3" w:rsidP="00E75AB3">
      <w:pPr>
        <w:rPr>
          <w:sz w:val="24"/>
        </w:rPr>
      </w:pPr>
      <w:r w:rsidRPr="00E75AB3">
        <w:rPr>
          <w:sz w:val="24"/>
        </w:rPr>
        <w:t xml:space="preserve">A história deste capítulo anda sobretudo em torno do filme In &amp; Out do realizador homossexual Paul Rudnick. O seu propósito é tentar tornar a homossexualidade socialmente aceite, nas palavras dele, torna-la agradável e “não tão má”. </w:t>
      </w:r>
    </w:p>
    <w:p w:rsidR="00E75AB3" w:rsidRPr="00E75AB3" w:rsidRDefault="00E75AB3" w:rsidP="00E75AB3">
      <w:pPr>
        <w:rPr>
          <w:sz w:val="24"/>
        </w:rPr>
      </w:pPr>
      <w:r w:rsidRPr="00E75AB3">
        <w:rPr>
          <w:sz w:val="24"/>
        </w:rPr>
        <w:t>Como consequência, um filme como In &amp; Out torna-se um instrumento dominante destinado a reinscrever o odio e o receio da homossexualidade. Na opinião do autor,” apesar da tentativa para uniformizar a queeridade, o filme de Rudnick é um exemplo de uma pedagogia equivocada”.</w:t>
      </w:r>
    </w:p>
    <w:p w:rsidR="00E75AB3" w:rsidRPr="00E75AB3" w:rsidRDefault="00E75AB3" w:rsidP="00E75AB3">
      <w:pPr>
        <w:rPr>
          <w:sz w:val="24"/>
        </w:rPr>
      </w:pPr>
      <w:r w:rsidRPr="00E75AB3">
        <w:rPr>
          <w:sz w:val="24"/>
        </w:rPr>
        <w:t>O filme retrata Howard Brackett um professor, que na noite em que seria o centro das atenções na transmissão dos Óscares, é surpreendido por um antigo aluno que afirma diante milhões de espetadores que Howard é homossexual. O filme passa-se com Howard a lutar por levar o seu casamento em frente e fazendo tudo para afirmar a sua masculinidade.</w:t>
      </w:r>
    </w:p>
    <w:p w:rsidR="00E75AB3" w:rsidRPr="00E75AB3" w:rsidRDefault="00E75AB3" w:rsidP="00E75AB3">
      <w:pPr>
        <w:rPr>
          <w:sz w:val="24"/>
        </w:rPr>
      </w:pPr>
      <w:r w:rsidRPr="00E75AB3">
        <w:rPr>
          <w:sz w:val="24"/>
        </w:rPr>
        <w:t>O autor pensa que a abordagem que Rudnick faz do filme “é defeituosa, porque ele utiliza “defeitos” de carácter atribuídos à homossexualidade (…). Em vez de nos esclarecer, abandonamos a sala de cinema com uma vívida redescrição do que é a queeridade – isto é, o que o mundo heterossexual quer que seja a queeridade”.</w:t>
      </w:r>
    </w:p>
    <w:p w:rsidR="00E75AB3" w:rsidRPr="00E75AB3" w:rsidRDefault="00E75AB3" w:rsidP="00E75AB3">
      <w:pPr>
        <w:rPr>
          <w:sz w:val="24"/>
        </w:rPr>
      </w:pPr>
      <w:r w:rsidRPr="00E75AB3">
        <w:rPr>
          <w:sz w:val="24"/>
        </w:rPr>
        <w:t>Mais tarde os alunos pensam porque razões se assu</w:t>
      </w:r>
      <w:r>
        <w:rPr>
          <w:sz w:val="24"/>
        </w:rPr>
        <w:t>miu que Howard era homossexual. N</w:t>
      </w:r>
      <w:r w:rsidRPr="00E75AB3">
        <w:rPr>
          <w:sz w:val="24"/>
        </w:rPr>
        <w:t>a verdade Howard tinha características que levariam ao modelo queer. Por exemplo, por ser inteligente, asseado e andar bem vestido; por ter estado noivo durante três anos; ser afeminado; ter um clube de drama e uma bicicleta, entre vários outros aspetos que começaram a fazer algum sentido na cabeça dos alunos. A sinopse continua com Howard a fazer de tudo para provar a sua masculinidade.</w:t>
      </w:r>
    </w:p>
    <w:p w:rsidR="00E75AB3" w:rsidRPr="00E75AB3" w:rsidRDefault="00E75AB3" w:rsidP="00E75AB3">
      <w:pPr>
        <w:rPr>
          <w:sz w:val="24"/>
        </w:rPr>
      </w:pPr>
      <w:r w:rsidRPr="00E75AB3">
        <w:rPr>
          <w:sz w:val="24"/>
        </w:rPr>
        <w:t xml:space="preserve">Depois de ser a única pessoa que não se apercebe que é homossexual, Howard acaba mesmo por se </w:t>
      </w:r>
      <w:r w:rsidR="00704B2E" w:rsidRPr="00E75AB3">
        <w:rPr>
          <w:sz w:val="24"/>
        </w:rPr>
        <w:t>denominar</w:t>
      </w:r>
      <w:r w:rsidRPr="00E75AB3">
        <w:rPr>
          <w:sz w:val="24"/>
        </w:rPr>
        <w:t xml:space="preserve"> de homossexual, e até é despedido. Curioso que no filme a homossexualidade nunca está associada ao sexo. Associa-se sempre aos modos afeminados e aos punhos frouxos. Steinberg até diz que o único significado </w:t>
      </w:r>
      <w:r w:rsidR="00704B2E" w:rsidRPr="00E75AB3">
        <w:rPr>
          <w:sz w:val="24"/>
        </w:rPr>
        <w:t>indiscutível</w:t>
      </w:r>
      <w:r w:rsidRPr="00E75AB3">
        <w:rPr>
          <w:sz w:val="24"/>
        </w:rPr>
        <w:t xml:space="preserve"> da homossexualidade é uma pessoa ter relações sexuais com alguém do mesmo sexo. Questiona-se então por que motivo Rudnick não permitir que a sua personagem tenha relações sexuais. Pensa até que R</w:t>
      </w:r>
      <w:r w:rsidR="00704B2E">
        <w:rPr>
          <w:sz w:val="24"/>
        </w:rPr>
        <w:t>udnick não o fez por que isso “</w:t>
      </w:r>
      <w:r w:rsidRPr="00E75AB3">
        <w:rPr>
          <w:sz w:val="24"/>
        </w:rPr>
        <w:t>seria ultrapassar a linha de decência heterossexual, a linha que define o que a homossexualidade poderá realmente ser”.</w:t>
      </w:r>
    </w:p>
    <w:p w:rsidR="00E75AB3" w:rsidRPr="00E75AB3" w:rsidRDefault="00E75AB3" w:rsidP="00E75AB3">
      <w:pPr>
        <w:rPr>
          <w:sz w:val="24"/>
        </w:rPr>
      </w:pPr>
      <w:r w:rsidRPr="00E75AB3">
        <w:rPr>
          <w:sz w:val="24"/>
        </w:rPr>
        <w:t>Na opinião do autor “ os filmes de Rudnick ajudam os espectadores a aceitar a revelação da orientação sexual, o sair do armário, mas encurrala a queeridade num espaço contido com atributos definidos</w:t>
      </w:r>
      <w:r w:rsidR="00704B2E">
        <w:rPr>
          <w:sz w:val="24"/>
        </w:rPr>
        <w:t xml:space="preserve"> e sem sexo”. Diz também que “a</w:t>
      </w:r>
      <w:r w:rsidRPr="00E75AB3">
        <w:rPr>
          <w:sz w:val="24"/>
        </w:rPr>
        <w:t>pesar de dar um passo em frente relativamente á tolerância, um filme como In &amp; Out dá dois passos atrás”.</w:t>
      </w:r>
    </w:p>
    <w:p w:rsidR="00E75AB3" w:rsidRPr="00E75AB3" w:rsidRDefault="00E75AB3" w:rsidP="00E75AB3">
      <w:pPr>
        <w:rPr>
          <w:sz w:val="24"/>
        </w:rPr>
      </w:pPr>
      <w:r w:rsidRPr="00E75AB3">
        <w:rPr>
          <w:sz w:val="24"/>
        </w:rPr>
        <w:t xml:space="preserve">No desfecho do filme, a cena muda para uma igreja e dá a sensação que Howard se vai casar com um repórter homossexual. O autor diz sentir-se aliviado por finalmente o </w:t>
      </w:r>
      <w:r w:rsidRPr="00E75AB3">
        <w:rPr>
          <w:sz w:val="24"/>
        </w:rPr>
        <w:lastRenderedPageBreak/>
        <w:t xml:space="preserve">amor e o sexo serem tratados no filme. Contudo, rapidamente se </w:t>
      </w:r>
      <w:r w:rsidR="00704B2E" w:rsidRPr="00E75AB3">
        <w:rPr>
          <w:sz w:val="24"/>
        </w:rPr>
        <w:t>dececiona, pois,</w:t>
      </w:r>
      <w:r w:rsidRPr="00E75AB3">
        <w:rPr>
          <w:sz w:val="24"/>
        </w:rPr>
        <w:t xml:space="preserve"> quem sobe ao altar são os pais de Howard, renovando os seus votos.</w:t>
      </w:r>
    </w:p>
    <w:p w:rsidR="007C005B" w:rsidRDefault="00E75AB3" w:rsidP="00E75AB3">
      <w:pPr>
        <w:rPr>
          <w:sz w:val="24"/>
        </w:rPr>
      </w:pPr>
      <w:r w:rsidRPr="00E75AB3">
        <w:rPr>
          <w:sz w:val="24"/>
        </w:rPr>
        <w:t xml:space="preserve">Não escondendo a sua desilusão perante este desfecho, o autor refere </w:t>
      </w:r>
      <w:r w:rsidR="00704B2E" w:rsidRPr="00E75AB3">
        <w:rPr>
          <w:sz w:val="24"/>
        </w:rPr>
        <w:t>“o</w:t>
      </w:r>
      <w:r w:rsidRPr="00E75AB3">
        <w:rPr>
          <w:sz w:val="24"/>
        </w:rPr>
        <w:t xml:space="preserve"> único momento no filme que poderia legitimar a homossexualidade como um estilo de vida amoroso e sexual afunda-se numa desconcertante e débil conclusão que nos deixa vazios. O heterossexismo é reinscrito e fortalecido”</w:t>
      </w:r>
    </w:p>
    <w:p w:rsidR="00244D4D" w:rsidRDefault="00244D4D" w:rsidP="00E75AB3">
      <w:pPr>
        <w:rPr>
          <w:sz w:val="24"/>
        </w:rPr>
      </w:pPr>
    </w:p>
    <w:p w:rsidR="00244D4D" w:rsidRPr="00142057" w:rsidRDefault="00244D4D" w:rsidP="00E75AB3">
      <w:pPr>
        <w:rPr>
          <w:b/>
          <w:color w:val="FF8A3B"/>
          <w:sz w:val="28"/>
        </w:rPr>
      </w:pPr>
      <w:r w:rsidRPr="00142057">
        <w:rPr>
          <w:b/>
          <w:color w:val="FF8A3B"/>
          <w:sz w:val="28"/>
        </w:rPr>
        <w:t xml:space="preserve">Reflexão critica </w:t>
      </w:r>
    </w:p>
    <w:p w:rsidR="00133121" w:rsidRPr="00133121" w:rsidRDefault="00536533" w:rsidP="00133121">
      <w:pPr>
        <w:rPr>
          <w:sz w:val="24"/>
        </w:rPr>
      </w:pPr>
      <w:r w:rsidRPr="00536533">
        <w:rPr>
          <w:sz w:val="24"/>
        </w:rPr>
        <w:t xml:space="preserve">Todos nós </w:t>
      </w:r>
      <w:r>
        <w:rPr>
          <w:sz w:val="24"/>
        </w:rPr>
        <w:t>sabemos</w:t>
      </w:r>
      <w:r w:rsidRPr="00536533">
        <w:rPr>
          <w:sz w:val="24"/>
        </w:rPr>
        <w:t xml:space="preserve"> do quão grande é a influência dos media na sociedade e ainda do quanto a </w:t>
      </w:r>
      <w:r w:rsidR="00133121" w:rsidRPr="00133121">
        <w:rPr>
          <w:sz w:val="24"/>
        </w:rPr>
        <w:t>indústria do cinema pode ter esse mesmo papel ou pelo menos deixar-nos a refletir sobre certos assuntos.</w:t>
      </w:r>
    </w:p>
    <w:p w:rsidR="00133121" w:rsidRPr="00133121" w:rsidRDefault="00133121" w:rsidP="00133121">
      <w:pPr>
        <w:rPr>
          <w:sz w:val="24"/>
        </w:rPr>
      </w:pPr>
      <w:r w:rsidRPr="00133121">
        <w:rPr>
          <w:sz w:val="24"/>
        </w:rPr>
        <w:t>Neste contexto, no que toca a filmes sobre homossexualidade muitos deles são feitos para suavizar o choque da homossexualidade e fomentar a tolerância, no entanto acabam por recuperar estereótipos homofóbicos como aconteceu no filme In &amp; out que acaba por ser exemplo de uma pedagogia err</w:t>
      </w:r>
      <w:r w:rsidR="00536533">
        <w:rPr>
          <w:sz w:val="24"/>
        </w:rPr>
        <w:t>ada, como refere o autor.</w:t>
      </w:r>
    </w:p>
    <w:p w:rsidR="00133121" w:rsidRPr="00133121" w:rsidRDefault="00133121" w:rsidP="00133121">
      <w:pPr>
        <w:rPr>
          <w:sz w:val="24"/>
        </w:rPr>
      </w:pPr>
      <w:r w:rsidRPr="00133121">
        <w:rPr>
          <w:sz w:val="24"/>
        </w:rPr>
        <w:t>Uma das principais críticas feitas por Shirley R. Steinberg ao filme de Rudnick é a de que nunca, em nenhuma cena, a homossexualidade é associada a sexo, ou seja, que exclui a sexualidade em si, apesar de ser um estilo de vida sexual.</w:t>
      </w:r>
    </w:p>
    <w:p w:rsidR="00133121" w:rsidRPr="00133121" w:rsidRDefault="00133121" w:rsidP="00133121">
      <w:pPr>
        <w:rPr>
          <w:sz w:val="24"/>
        </w:rPr>
      </w:pPr>
      <w:r w:rsidRPr="00133121">
        <w:rPr>
          <w:sz w:val="24"/>
        </w:rPr>
        <w:t>Rudnick erra ao tentar suavizar a temática do filme com personagens cómicas e cenas ridículas e acabando por não permitir que o público</w:t>
      </w:r>
      <w:r w:rsidR="00536533">
        <w:rPr>
          <w:sz w:val="24"/>
        </w:rPr>
        <w:t xml:space="preserve"> ficasse esclarecido.</w:t>
      </w:r>
    </w:p>
    <w:p w:rsidR="00133121" w:rsidRPr="00133121" w:rsidRDefault="00133121" w:rsidP="00133121">
      <w:pPr>
        <w:rPr>
          <w:sz w:val="24"/>
        </w:rPr>
      </w:pPr>
      <w:r w:rsidRPr="00133121">
        <w:rPr>
          <w:sz w:val="24"/>
        </w:rPr>
        <w:t>É natural que ao realizar filmes com histórias ditas não normais não se consiga demonstrar a normalidade que a homossexualidade deveria ser tudo por conta de preconceitos sociais e apenas se passe a imagem de uma homossexualidade aceitável aos olhos da sociedade, algo possível de se aceitar, uma sexualidade explícita talvez, mas apenas de forma engraçada e sobretudo dessexualizada p</w:t>
      </w:r>
      <w:r w:rsidR="00536533">
        <w:rPr>
          <w:sz w:val="24"/>
        </w:rPr>
        <w:t>ara não ferir suscetibilidades.</w:t>
      </w:r>
    </w:p>
    <w:p w:rsidR="00244D4D" w:rsidRPr="00244D4D" w:rsidRDefault="00133121" w:rsidP="00133121">
      <w:pPr>
        <w:rPr>
          <w:sz w:val="24"/>
        </w:rPr>
      </w:pPr>
      <w:r w:rsidRPr="00133121">
        <w:rPr>
          <w:sz w:val="24"/>
        </w:rPr>
        <w:t xml:space="preserve">Concluindo, entende-se por isto que o filme permite dar a conhecer o outro mundo, a outra forma de vida possível e vivida pelos queer,  o que lhes permite a eles concretizar a famosa ação de ”sair do armário”.  </w:t>
      </w:r>
    </w:p>
    <w:sectPr w:rsidR="00244D4D" w:rsidRPr="00244D4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DE1" w:rsidRDefault="007A1DE1" w:rsidP="00997FA3">
      <w:pPr>
        <w:spacing w:after="0" w:line="240" w:lineRule="auto"/>
      </w:pPr>
      <w:r>
        <w:separator/>
      </w:r>
    </w:p>
  </w:endnote>
  <w:endnote w:type="continuationSeparator" w:id="0">
    <w:p w:rsidR="007A1DE1" w:rsidRDefault="007A1DE1" w:rsidP="00997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FA3" w:rsidRDefault="00997FA3" w:rsidP="00997FA3">
    <w:pPr>
      <w:pStyle w:val="Rodap"/>
      <w:jc w:val="center"/>
    </w:pPr>
    <w:r>
      <w:t>31 de Maio de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DE1" w:rsidRDefault="007A1DE1" w:rsidP="00997FA3">
      <w:pPr>
        <w:spacing w:after="0" w:line="240" w:lineRule="auto"/>
      </w:pPr>
      <w:r>
        <w:separator/>
      </w:r>
    </w:p>
  </w:footnote>
  <w:footnote w:type="continuationSeparator" w:id="0">
    <w:p w:rsidR="007A1DE1" w:rsidRDefault="007A1DE1" w:rsidP="00997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FA3" w:rsidRDefault="00997FA3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133350</wp:posOffset>
          </wp:positionH>
          <wp:positionV relativeFrom="paragraph">
            <wp:posOffset>-392430</wp:posOffset>
          </wp:positionV>
          <wp:extent cx="1000125" cy="838200"/>
          <wp:effectExtent l="0" t="0" r="9525" b="0"/>
          <wp:wrapTight wrapText="bothSides">
            <wp:wrapPolygon edited="0">
              <wp:start x="0" y="0"/>
              <wp:lineTo x="0" y="21109"/>
              <wp:lineTo x="21394" y="21109"/>
              <wp:lineTo x="21394" y="0"/>
              <wp:lineTo x="0" y="0"/>
            </wp:wrapPolygon>
          </wp:wrapTight>
          <wp:docPr id="6" name="Imagem 6" descr="Resultado de imagem para um 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do de imagem para um 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AB3"/>
    <w:rsid w:val="00133121"/>
    <w:rsid w:val="00142057"/>
    <w:rsid w:val="001C0FF8"/>
    <w:rsid w:val="00244D4D"/>
    <w:rsid w:val="00245D96"/>
    <w:rsid w:val="00536533"/>
    <w:rsid w:val="0055214A"/>
    <w:rsid w:val="006B175F"/>
    <w:rsid w:val="00704B2E"/>
    <w:rsid w:val="007A1DE1"/>
    <w:rsid w:val="007C005B"/>
    <w:rsid w:val="00997FA3"/>
    <w:rsid w:val="00D707A7"/>
    <w:rsid w:val="00E75AB3"/>
    <w:rsid w:val="00EF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C6CC6"/>
  <w15:chartTrackingRefBased/>
  <w15:docId w15:val="{000C20CA-1F35-42B4-88ED-22EE15699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7F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7FA3"/>
  </w:style>
  <w:style w:type="paragraph" w:styleId="Rodap">
    <w:name w:val="footer"/>
    <w:basedOn w:val="Normal"/>
    <w:link w:val="RodapChar"/>
    <w:uiPriority w:val="99"/>
    <w:unhideWhenUsed/>
    <w:rsid w:val="00997F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7FA3"/>
  </w:style>
  <w:style w:type="character" w:customStyle="1" w:styleId="apple-converted-space">
    <w:name w:val="apple-converted-space"/>
    <w:basedOn w:val="Fontepargpadro"/>
    <w:rsid w:val="00D70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5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1116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</dc:creator>
  <cp:keywords/>
  <dc:description/>
  <cp:lastModifiedBy>Alexandra Barbosa</cp:lastModifiedBy>
  <cp:revision>3</cp:revision>
  <dcterms:created xsi:type="dcterms:W3CDTF">2017-05-30T19:50:00Z</dcterms:created>
  <dcterms:modified xsi:type="dcterms:W3CDTF">2017-05-30T19:52:00Z</dcterms:modified>
</cp:coreProperties>
</file>